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41" w:rsidRDefault="00904041">
      <w:pPr>
        <w:pStyle w:val="ConsPlusNormal"/>
        <w:jc w:val="both"/>
        <w:outlineLvl w:val="0"/>
      </w:pPr>
      <w:bookmarkStart w:id="0" w:name="_GoBack"/>
      <w:bookmarkEnd w:id="0"/>
    </w:p>
    <w:p w:rsidR="00904041" w:rsidRDefault="00904041">
      <w:pPr>
        <w:pStyle w:val="ConsPlusTitle"/>
        <w:jc w:val="center"/>
        <w:outlineLvl w:val="0"/>
      </w:pPr>
      <w:r>
        <w:t>ПРАВИТЕЛЬСТВО ПЕНЗЕНСКОЙ ОБЛАСТИ</w:t>
      </w:r>
    </w:p>
    <w:p w:rsidR="00904041" w:rsidRDefault="00904041">
      <w:pPr>
        <w:pStyle w:val="ConsPlusTitle"/>
        <w:jc w:val="both"/>
      </w:pPr>
    </w:p>
    <w:p w:rsidR="00904041" w:rsidRDefault="00904041">
      <w:pPr>
        <w:pStyle w:val="ConsPlusTitle"/>
        <w:jc w:val="center"/>
      </w:pPr>
      <w:r>
        <w:t>ПОСТАНОВЛЕНИЕ</w:t>
      </w:r>
    </w:p>
    <w:p w:rsidR="00904041" w:rsidRDefault="00904041">
      <w:pPr>
        <w:pStyle w:val="ConsPlusTitle"/>
        <w:jc w:val="center"/>
      </w:pPr>
      <w:r>
        <w:t>от 12 октября 2022 г. N 873-пП</w:t>
      </w:r>
    </w:p>
    <w:p w:rsidR="00904041" w:rsidRDefault="00904041">
      <w:pPr>
        <w:pStyle w:val="ConsPlusTitle"/>
        <w:jc w:val="both"/>
      </w:pPr>
    </w:p>
    <w:p w:rsidR="00904041" w:rsidRDefault="00904041">
      <w:pPr>
        <w:pStyle w:val="ConsPlusTitle"/>
        <w:jc w:val="center"/>
      </w:pPr>
      <w:r>
        <w:t>О ВНЕСЕНИИ ИЗМЕНЕНИЙ В ГОСУДАРСТВЕННУЮ ПРОГРАММУ ПЕНЗЕНСКОЙ</w:t>
      </w:r>
    </w:p>
    <w:p w:rsidR="00904041" w:rsidRDefault="00904041">
      <w:pPr>
        <w:pStyle w:val="ConsPlusTitle"/>
        <w:jc w:val="center"/>
      </w:pPr>
      <w:r>
        <w:t>ОБЛАСТИ "РАЗВИТИЕ ОБРАЗОВАНИЯ В ПЕНЗЕНСКОЙ ОБЛАСТИ",</w:t>
      </w:r>
    </w:p>
    <w:p w:rsidR="00904041" w:rsidRDefault="00904041">
      <w:pPr>
        <w:pStyle w:val="ConsPlusTitle"/>
        <w:jc w:val="center"/>
      </w:pPr>
      <w:r>
        <w:t>УТВЕРЖДЕННУЮ ПОСТАНОВЛЕНИЕМ ПРАВИТЕЛЬСТВА ПЕНЗЕНСКОЙ ОБЛАСТИ</w:t>
      </w:r>
    </w:p>
    <w:p w:rsidR="00904041" w:rsidRDefault="00904041">
      <w:pPr>
        <w:pStyle w:val="ConsPlusTitle"/>
        <w:jc w:val="center"/>
      </w:pPr>
      <w:r>
        <w:t>ОТ 30.10.2013 N 804-пП (С ПОСЛЕДУЮЩИМИ ИЗМЕНЕНИЯМИ)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ind w:firstLine="540"/>
        <w:jc w:val="both"/>
      </w:pPr>
      <w:r>
        <w:t xml:space="preserve">Руководствуясь </w:t>
      </w:r>
      <w:hyperlink r:id="rId4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1. Внести в государственную </w:t>
      </w:r>
      <w:hyperlink r:id="rId5">
        <w:r>
          <w:rPr>
            <w:color w:val="0000FF"/>
          </w:rPr>
          <w:t>программу</w:t>
        </w:r>
      </w:hyperlink>
      <w:r>
        <w:t xml:space="preserve"> Пензенской области "Развитие образования в Пензенской области" (далее - государственная программа), утвержденную постановлением Правительства Пензенской области от 30.10.2013 N 804-пП "Об утверждении государственной программы Пензенской области "Развитие образования в Пензенской области" (с последующими изменениями), следующие изменения: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1.1. </w:t>
      </w:r>
      <w:hyperlink r:id="rId6">
        <w:r>
          <w:rPr>
            <w:color w:val="0000FF"/>
          </w:rPr>
          <w:t>Раздел 3</w:t>
        </w:r>
      </w:hyperlink>
      <w:r>
        <w:t xml:space="preserve"> "Предоставление субсидий (субвенций) и иных межбюджетных трансфертов из бюджета Пензенской области бюджетам муниципальных образований Пензенской области" государственной программы дополнить подразделом 3.9 "Порядок предоставления и распределения субсидий из бюджета Пензенской области бюджетам муниципальных районов и городских округов Пензенской области на модернизацию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образования" в редакции согласно </w:t>
      </w:r>
      <w:hyperlink w:anchor="P3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right"/>
      </w:pPr>
      <w:r>
        <w:t>Председатель Правительства</w:t>
      </w:r>
    </w:p>
    <w:p w:rsidR="00904041" w:rsidRDefault="00904041">
      <w:pPr>
        <w:pStyle w:val="ConsPlusNormal"/>
        <w:jc w:val="right"/>
      </w:pPr>
      <w:r>
        <w:t>Пензенской области</w:t>
      </w:r>
    </w:p>
    <w:p w:rsidR="00904041" w:rsidRDefault="00904041">
      <w:pPr>
        <w:pStyle w:val="ConsPlusNormal"/>
        <w:jc w:val="right"/>
      </w:pPr>
      <w:r>
        <w:t>Н.П.СИМОНОВ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right"/>
        <w:outlineLvl w:val="0"/>
      </w:pPr>
      <w:r>
        <w:t>Приложение</w:t>
      </w:r>
    </w:p>
    <w:p w:rsidR="00904041" w:rsidRDefault="00904041">
      <w:pPr>
        <w:pStyle w:val="ConsPlusNormal"/>
        <w:jc w:val="right"/>
      </w:pPr>
      <w:r>
        <w:t>к постановлению</w:t>
      </w:r>
    </w:p>
    <w:p w:rsidR="00904041" w:rsidRDefault="00904041">
      <w:pPr>
        <w:pStyle w:val="ConsPlusNormal"/>
        <w:jc w:val="right"/>
      </w:pPr>
      <w:r>
        <w:t>Правительства Пензенской области</w:t>
      </w:r>
    </w:p>
    <w:p w:rsidR="00904041" w:rsidRDefault="00904041">
      <w:pPr>
        <w:pStyle w:val="ConsPlusNormal"/>
        <w:jc w:val="right"/>
      </w:pPr>
      <w:r>
        <w:t>от 12 октября 2022 г. N 873-пП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Title"/>
        <w:jc w:val="center"/>
      </w:pPr>
      <w:bookmarkStart w:id="1" w:name="P31"/>
      <w:bookmarkEnd w:id="1"/>
      <w:r>
        <w:t>3.9. Порядок</w:t>
      </w:r>
    </w:p>
    <w:p w:rsidR="00904041" w:rsidRDefault="00904041">
      <w:pPr>
        <w:pStyle w:val="ConsPlusTitle"/>
        <w:jc w:val="center"/>
      </w:pPr>
      <w:r>
        <w:t>предоставления и распределения субсидий из бюджета</w:t>
      </w:r>
    </w:p>
    <w:p w:rsidR="00904041" w:rsidRDefault="00904041">
      <w:pPr>
        <w:pStyle w:val="ConsPlusTitle"/>
        <w:jc w:val="center"/>
      </w:pPr>
      <w:r>
        <w:t>Пензенской области бюджетам муниципальных районов</w:t>
      </w:r>
    </w:p>
    <w:p w:rsidR="00904041" w:rsidRDefault="00904041">
      <w:pPr>
        <w:pStyle w:val="ConsPlusTitle"/>
        <w:jc w:val="center"/>
      </w:pPr>
      <w:r>
        <w:t>и городских округов Пензенской области на модернизацию</w:t>
      </w:r>
    </w:p>
    <w:p w:rsidR="00904041" w:rsidRDefault="00904041">
      <w:pPr>
        <w:pStyle w:val="ConsPlusTitle"/>
        <w:jc w:val="center"/>
      </w:pPr>
      <w:r>
        <w:t>пищеблоков в муниципальных общеобразовательных организациях,</w:t>
      </w:r>
    </w:p>
    <w:p w:rsidR="00904041" w:rsidRDefault="00904041">
      <w:pPr>
        <w:pStyle w:val="ConsPlusTitle"/>
        <w:jc w:val="center"/>
      </w:pPr>
      <w:r>
        <w:t>реализующих программы начального общего, основного общего</w:t>
      </w:r>
    </w:p>
    <w:p w:rsidR="00904041" w:rsidRDefault="00904041">
      <w:pPr>
        <w:pStyle w:val="ConsPlusTitle"/>
        <w:jc w:val="center"/>
      </w:pPr>
      <w:r>
        <w:t>и среднего общего образования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ind w:firstLine="540"/>
        <w:jc w:val="both"/>
      </w:pPr>
      <w:bookmarkStart w:id="2" w:name="P39"/>
      <w:bookmarkEnd w:id="2"/>
      <w:r>
        <w:t xml:space="preserve">1. Настоящий Порядок устанавливает цели, условия и порядок предоставления и распределения из бюджета Пензенской области субсидий бюджетам муниципальных районов и </w:t>
      </w:r>
      <w:r>
        <w:lastRenderedPageBreak/>
        <w:t>городских округов Пензенской области на модернизацию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Субсидия предоставляется за счет средств бюджета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bookmarkStart w:id="3" w:name="P41"/>
      <w:bookmarkEnd w:id="3"/>
      <w:r>
        <w:t xml:space="preserve">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районов и городских округов Пензенской области, направленных на модернизацию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2022 году оснащение муниципальных общеобразовательных организаций, расположенных в сельских поселениях;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2023 году оснащение муниципальных общеобразовательных организаций, расположенных в городских поселениях;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2024 году оснащение муниципальных общеобразовательных организаций, расположенных в городских округах.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Субсидии предоставляются в пределах бюджетных ассигнований, предусмотренных в законе Пензенской области о бюджете Пензенской области на текущий финансовый год и плановый период, и лимитов бюджетных обязательств, утвержденных Министерству образования Пензенской области, на цели, указанные в </w:t>
      </w:r>
      <w:hyperlink w:anchor="P39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Распределение субсидий бюджетам муниципальных районов и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период.</w:t>
      </w:r>
    </w:p>
    <w:p w:rsidR="00904041" w:rsidRDefault="00904041">
      <w:pPr>
        <w:pStyle w:val="ConsPlusNormal"/>
        <w:spacing w:before="200"/>
        <w:ind w:firstLine="540"/>
        <w:jc w:val="both"/>
      </w:pPr>
      <w:bookmarkStart w:id="4" w:name="P47"/>
      <w:bookmarkEnd w:id="4"/>
      <w:r>
        <w:t>3. Критериями отбора муниципальных районов и городских округов Пензенской области для предоставления субсидии являются: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- наличие в муниципальном районе (городском округе) Пензенской области муниципальных общеобразовательных организаций, требующих замены технологического оборудования в пищеблоках;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- наличие обязательства муниципального района (городского округа) Пензенской области по обеспечению ремонта пищеблоков в муниципальных общеобразовательных организациях, в которых планируется замена оборудования.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4. Условиями предоставления субсидии являются: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а) наличие муниципальных правовых актов, утверждающих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Федерации, нормативных правовых актов Пензенской области;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б) наличие в бюджете муниципального района и городского округа Пензенской области (сводной бюджетной росписи бюджета муниципального района и городского округа Пензенской области) бюджетных ассигнований на исполнение расходного обязательства муниципального района и городского округа Пензенской области, </w:t>
      </w:r>
      <w:proofErr w:type="spellStart"/>
      <w:r>
        <w:t>софинансирование</w:t>
      </w:r>
      <w:proofErr w:type="spellEnd"/>
      <w:r>
        <w:t xml:space="preserve"> которого осуществляется из бюджета Пензенской области, в объеме, необходимом для исполнения, с учетом планируемой к предоставлению из бюджета Пензенской области субсидии;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в) заключение соглашения о предоставлении субсидии (далее - Соглашение) в соответствии с </w:t>
      </w:r>
      <w:hyperlink r:id="rId7">
        <w:r>
          <w:rPr>
            <w:color w:val="0000FF"/>
          </w:rPr>
          <w:t>пунктом 8</w:t>
        </w:r>
      </w:hyperlink>
      <w:r>
        <w:t xml:space="preserve"> Правил формирования, предоставления и распределения субсидий из бюджета Пензенской области бюджетам муниципальных образований Пензенской области, утвержденных постановлением Правительства Пензенской области от 16.12.2019 N 800-пП (с последующими изменениями).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5. В рамках отбора Министерство образования Пензенской области направляет во все муниципальные районы и городские округа Пензенской области запрос с указанием срока окончания приема заявок.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Муниципальные районы и городские округа Пензенской области направляют в Министерство </w:t>
      </w:r>
      <w:r>
        <w:lastRenderedPageBreak/>
        <w:t xml:space="preserve">образования Пензенской области заявку, включающую в себя перечни предлагаемых к </w:t>
      </w:r>
      <w:proofErr w:type="spellStart"/>
      <w:r>
        <w:t>софинансированию</w:t>
      </w:r>
      <w:proofErr w:type="spellEnd"/>
      <w:r>
        <w:t xml:space="preserve"> из бюджета Пензенской области общеобразовательных организаций по модернизации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 Указанные перечни представляются в сроки, указанные в запросе Министерства строительства и дорожного хозяйства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bookmarkStart w:id="5" w:name="P56"/>
      <w:bookmarkEnd w:id="5"/>
      <w:r>
        <w:t>6. Одновременно с заявкой муниципальные районы и городские округа Пензенской области направляют в Министерство образования Пензенской области следующие документы: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а) информацию о потребности в модернизации школьных пищеблоков;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б) заверенную копию утвержденной муниципальной программы, включающей в себя мероприятие, предусмотренное </w:t>
      </w:r>
      <w:hyperlink w:anchor="P4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в) выписку из решения об утверждении бюджета муниципального района и городского округа Пензенской области на соответствующий финансовый год и плановый период об обеспечении финансирования мероприятия, указанного в </w:t>
      </w:r>
      <w:hyperlink w:anchor="P4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7. Министерство образования Пензенской области рассматривает представленные документы муниципальных районов (городских округов)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Министерство образования Пензенской области заключает Соглашение в соответствии с </w:t>
      </w:r>
      <w:hyperlink r:id="rId8">
        <w:r>
          <w:rPr>
            <w:color w:val="0000FF"/>
          </w:rPr>
          <w:t>пунктом 8</w:t>
        </w:r>
      </w:hyperlink>
      <w:r>
        <w:t xml:space="preserve"> Правил формирования, предоставления и распределения субсидий из бюджета Пензенской области бюджетам муниципальных образований Пензенской области, утвержденных постановлением Правительства Пензенской области от 16.12.2019 N 800-пП (с последующими изменениями), по типовой форме, утвержденной Министерством финансов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Соглашения (дополнительные соглашения к Соглашению, предусматривающие внесение в него изменений и его расторжение), если иное не предусмотрено нормативными правовыми актами Российской Федерации, подлежат заключению: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- в срок до 15 февраля - в отношении субсидий, предусмотренных законом о бюджете Пензенской области на очередной финансовый год и плановый период;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-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период, со дня вступления в силу постановления Правительства Пензенской области о распределении (внесении изменений в распределение) субсидий между бюджетами муниципальных образований на конкурсной основе, со дня вступления в силу постановления Правительства Пензенской области о внесении изменений в распределение объемов субсидий в случаях, предусмотренных </w:t>
      </w:r>
      <w:hyperlink r:id="rId9">
        <w:r>
          <w:rPr>
            <w:color w:val="0000FF"/>
          </w:rPr>
          <w:t>частью 7 статьи 11</w:t>
        </w:r>
      </w:hyperlink>
      <w:r>
        <w:t xml:space="preserve"> Закона Пензенской области от 20.09.2005 N 849-ЗПО "О межбюджетных отношениях в Пензенской области" (с последующими изменениями).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Обязательным условием предоставления субсидии, включаемым в соглашение, является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41">
        <w:r>
          <w:rPr>
            <w:color w:val="0000FF"/>
          </w:rPr>
          <w:t>пункте 2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случае принятия решения об отказе в предоставлении субсидий в муниципальные районы и городские округа Пензенской области направляются письма с указанием причины отказа в течение трех рабочих дней со дня принятия такого решения.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предоставлении субсидии отказывается в случае: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- непредставления (представления не в полном объеме) документов, указанных в </w:t>
      </w:r>
      <w:hyperlink w:anchor="P56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- несоответствия заявки критериям отбора муниципальных районов (городских округов) Пензенской области для предоставления субсидии согласно </w:t>
      </w:r>
      <w:hyperlink w:anchor="P47">
        <w:r>
          <w:rPr>
            <w:color w:val="0000FF"/>
          </w:rPr>
          <w:t>пункту 3</w:t>
        </w:r>
      </w:hyperlink>
      <w:r>
        <w:t xml:space="preserve"> настоящего Порядка.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lastRenderedPageBreak/>
        <w:t>8. В течение текущего года может осуществляться дополнительный отбор при условии наличия остатка ассигнований по итогам проведения основного отбора, увеличения бюджетных ассигнований на обеспечение мероприятий, возникающих при реализации муниципальных программ, которые реализуются в рамках государственной программы "Развитие образования в Пензенской области" по мероприятию "Модернизация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образования".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В рамках дополнительного отбора Министерство образования Пензенской области направляет во все муниципальные районы и городские округа Пензенской области запрос с указанием срока окончания приема заявок.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Для участия в дополнительном отборе муниципальные районы и городские округа Пензенской области представляют в Министерство образования Пензенской области документы, указанные в </w:t>
      </w:r>
      <w:hyperlink w:anchor="P56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9. Объем субсидии, предоставляемой бюджету муниципального района и городского округа Пензенской области, определяется по формуле: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126682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ind w:firstLine="540"/>
        <w:jc w:val="both"/>
      </w:pPr>
      <w:r>
        <w:t>где:</w:t>
      </w:r>
    </w:p>
    <w:p w:rsidR="00904041" w:rsidRDefault="00904041">
      <w:pPr>
        <w:pStyle w:val="ConsPlusNormal"/>
        <w:spacing w:before="20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размер субсидии;</w:t>
      </w:r>
    </w:p>
    <w:p w:rsidR="00904041" w:rsidRDefault="00904041">
      <w:pPr>
        <w:pStyle w:val="ConsPlusNormal"/>
        <w:spacing w:before="20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количество обучающихся в муниципальных общеобразовательных организациях муниципального района (городского округа) по состоянию на 20.09.2021 (2022 год - в сельских поселениях; 2023 год - в городских поселениях, 2024 год - в городских округах);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S - стоимость оснащения пищеблока из расчета на одного обучающегося (в сельских поселениях - 1703,3 рубля; в городских поселениях - 2055,7 рубля; в городских округах - 763,1 рубля);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i - муниципальный район (городской округ);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0,99 - уровень </w:t>
      </w:r>
      <w:proofErr w:type="spellStart"/>
      <w:r>
        <w:t>софинансирования</w:t>
      </w:r>
      <w:proofErr w:type="spellEnd"/>
      <w:r>
        <w:t xml:space="preserve"> из бюджета Пензенской области расходного обязательства i-</w:t>
      </w:r>
      <w:proofErr w:type="spellStart"/>
      <w:r>
        <w:t>го</w:t>
      </w:r>
      <w:proofErr w:type="spellEnd"/>
      <w:r>
        <w:t xml:space="preserve"> муниципального района (городского округа)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Оснащение школьных пищеблоков осуществляется в соответствии </w:t>
      </w:r>
      <w:hyperlink w:anchor="P119">
        <w:r>
          <w:rPr>
            <w:color w:val="0000FF"/>
          </w:rPr>
          <w:t>Перечнем</w:t>
        </w:r>
      </w:hyperlink>
      <w:r>
        <w:t xml:space="preserve"> рекомендуемого оборудования для оснащения школьных пищеблоков, указанным в приложении к настоящему Порядку.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10. Перечисление субсидии осуществляется в установленном порядке на единый счет бюджета муниципального района и городского округа Пензенской области, открытый финансовому органу муниципального района (городского округа) Пензенской области в территориальных органах Федерального казначейства.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Перечисление субсидий в бюджеты муниципальных районов (городских округов) Пензенской области осуществляется в пределах суммы, необходимой для оплаты денежных обязательств по расходам получателей средств бюджетов муниципальных районов (городских округов) Пензенской области,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оплаты расходного обязательства муниципального района (городского округа)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bookmarkStart w:id="6" w:name="P86"/>
      <w:bookmarkEnd w:id="6"/>
      <w:r>
        <w:t>11. Для перечисления субсидий органы местного самоуправления муниципальных районов и городских округов Пензенской области направляют в Министерство образования Пензенской области заявку на перечисление средств субсидий с приложением следующих документов (копии):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а) контракты (договоры) на закупку оборудования;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б) акты приема-передачи оборудования для оснащения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lastRenderedPageBreak/>
        <w:t xml:space="preserve">12. Министерство образования Пензенской области в течение трех рабочих дней со дня представления документов, указанных в </w:t>
      </w:r>
      <w:hyperlink w:anchor="P86">
        <w:r>
          <w:rPr>
            <w:color w:val="0000FF"/>
          </w:rPr>
          <w:t>пункте 11</w:t>
        </w:r>
      </w:hyperlink>
      <w:r>
        <w:t xml:space="preserve"> настоящего Порядка, рассматривает документы, представленные для перечисления средств субсидии.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Перечисление субсидий не производится в случае непредставления (представления не в полном объеме) документов, указанных в </w:t>
      </w:r>
      <w:hyperlink w:anchor="P86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 xml:space="preserve">13. В случае если муниципальным районом и городским округом Пензенской области по состоянию на 31 декабря года предоставления субсидии не достигнуты значения результатов использования субсидии, установленные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то субсидии подлежат возврату в бюджет Пензенской области в срок до 1 июня года, следующего за годом предоставления субсидии, в объемах и порядке, определенных </w:t>
      </w:r>
      <w:hyperlink r:id="rId11">
        <w:r>
          <w:rPr>
            <w:color w:val="0000FF"/>
          </w:rPr>
          <w:t>пунктами 17</w:t>
        </w:r>
      </w:hyperlink>
      <w:r>
        <w:t xml:space="preserve">, </w:t>
      </w:r>
      <w:hyperlink r:id="rId12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бюджета Пензенской области бюджетам муниципальных образований Пензенской области, утвержденных постановлением Правительства Пензенской области от 16.12.2019 N 800-пП (с последующими изменениями).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14. Результатом использования субсидии является количество общеобразовательных организаций, в которых осуществлена замена технологического оборудования в пищеблоках, значение результата использования субсидии устанавливается в соглашениях о предоставлении субсидии.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15. Оценка эффективности использования субсидии осуществляется Министерством образования Пензенской области на основании сравнения планируемых и достигнутых результатов использования субсидии муниципальным районом и городским округом Пензенской области по следующему показателю - количество общеобразовательных организаций, в которых осуществлена замена технологического оборудования в пищеблоках.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16. В случае нецелевого использования субсидии муниципальным районом (городским округом) Пензенской области к нему применяются бюджетные меры принуждения, предусмотренные бюджетным законодательством Российской Федерации.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17. Ответственность за достоверность предусмотренных настоящим Порядком представляемых сведений возлагается на органы местного самоуправления муниципальных районов и городских округов Пензенской области.</w:t>
      </w:r>
    </w:p>
    <w:p w:rsidR="00904041" w:rsidRDefault="00904041">
      <w:pPr>
        <w:pStyle w:val="ConsPlusNormal"/>
        <w:spacing w:before="200"/>
        <w:ind w:firstLine="540"/>
        <w:jc w:val="both"/>
      </w:pPr>
      <w:r>
        <w:t>18. Контроль за соблюдением муниципальными районами и городскими округами Пензенской области условий предоставления субсидий осуществляется Министерством образования Пензенской области и уполномоченными органами государственного финансового контроля.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right"/>
        <w:outlineLvl w:val="1"/>
      </w:pPr>
      <w:r>
        <w:t>Приложение</w:t>
      </w:r>
    </w:p>
    <w:p w:rsidR="00904041" w:rsidRDefault="00904041">
      <w:pPr>
        <w:pStyle w:val="ConsPlusNormal"/>
        <w:jc w:val="right"/>
      </w:pPr>
      <w:r>
        <w:t>к Порядку</w:t>
      </w:r>
    </w:p>
    <w:p w:rsidR="00904041" w:rsidRDefault="00904041">
      <w:pPr>
        <w:pStyle w:val="ConsPlusNormal"/>
        <w:jc w:val="right"/>
      </w:pPr>
      <w:r>
        <w:t>предоставления и распределения</w:t>
      </w:r>
    </w:p>
    <w:p w:rsidR="00904041" w:rsidRDefault="00904041">
      <w:pPr>
        <w:pStyle w:val="ConsPlusNormal"/>
        <w:jc w:val="right"/>
      </w:pPr>
      <w:r>
        <w:t>субсидий из бюджета</w:t>
      </w:r>
    </w:p>
    <w:p w:rsidR="00904041" w:rsidRDefault="00904041">
      <w:pPr>
        <w:pStyle w:val="ConsPlusNormal"/>
        <w:jc w:val="right"/>
      </w:pPr>
      <w:r>
        <w:t>Пензенской области</w:t>
      </w:r>
    </w:p>
    <w:p w:rsidR="00904041" w:rsidRDefault="00904041">
      <w:pPr>
        <w:pStyle w:val="ConsPlusNormal"/>
        <w:jc w:val="right"/>
      </w:pPr>
      <w:r>
        <w:t>бюджетам муниципальных</w:t>
      </w:r>
    </w:p>
    <w:p w:rsidR="00904041" w:rsidRDefault="00904041">
      <w:pPr>
        <w:pStyle w:val="ConsPlusNormal"/>
        <w:jc w:val="right"/>
      </w:pPr>
      <w:r>
        <w:t>районов и городских округов</w:t>
      </w:r>
    </w:p>
    <w:p w:rsidR="00904041" w:rsidRDefault="00904041">
      <w:pPr>
        <w:pStyle w:val="ConsPlusNormal"/>
        <w:jc w:val="right"/>
      </w:pPr>
      <w:r>
        <w:t>Пензенской области</w:t>
      </w:r>
    </w:p>
    <w:p w:rsidR="00904041" w:rsidRDefault="00904041">
      <w:pPr>
        <w:pStyle w:val="ConsPlusNormal"/>
        <w:jc w:val="right"/>
      </w:pPr>
      <w:r>
        <w:t>на модернизацию пищеблоков</w:t>
      </w:r>
    </w:p>
    <w:p w:rsidR="00904041" w:rsidRDefault="00904041">
      <w:pPr>
        <w:pStyle w:val="ConsPlusNormal"/>
        <w:jc w:val="right"/>
      </w:pPr>
      <w:r>
        <w:t>в муниципальных</w:t>
      </w:r>
    </w:p>
    <w:p w:rsidR="00904041" w:rsidRDefault="00904041">
      <w:pPr>
        <w:pStyle w:val="ConsPlusNormal"/>
        <w:jc w:val="right"/>
      </w:pPr>
      <w:r>
        <w:t>общеобразовательных</w:t>
      </w:r>
    </w:p>
    <w:p w:rsidR="00904041" w:rsidRDefault="00904041">
      <w:pPr>
        <w:pStyle w:val="ConsPlusNormal"/>
        <w:jc w:val="right"/>
      </w:pPr>
      <w:r>
        <w:t>организациях,</w:t>
      </w:r>
    </w:p>
    <w:p w:rsidR="00904041" w:rsidRDefault="00904041">
      <w:pPr>
        <w:pStyle w:val="ConsPlusNormal"/>
        <w:jc w:val="right"/>
      </w:pPr>
      <w:r>
        <w:t>реализующих программы</w:t>
      </w:r>
    </w:p>
    <w:p w:rsidR="00904041" w:rsidRDefault="00904041">
      <w:pPr>
        <w:pStyle w:val="ConsPlusNormal"/>
        <w:jc w:val="right"/>
      </w:pPr>
      <w:r>
        <w:t>начального общего,</w:t>
      </w:r>
    </w:p>
    <w:p w:rsidR="00904041" w:rsidRDefault="00904041">
      <w:pPr>
        <w:pStyle w:val="ConsPlusNormal"/>
        <w:jc w:val="right"/>
      </w:pPr>
      <w:r>
        <w:t>основного общего и среднего</w:t>
      </w:r>
    </w:p>
    <w:p w:rsidR="00904041" w:rsidRDefault="00904041">
      <w:pPr>
        <w:pStyle w:val="ConsPlusNormal"/>
        <w:jc w:val="right"/>
      </w:pPr>
      <w:r>
        <w:t>общего образования</w:t>
      </w: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Title"/>
        <w:jc w:val="center"/>
      </w:pPr>
      <w:bookmarkStart w:id="7" w:name="P119"/>
      <w:bookmarkEnd w:id="7"/>
      <w:r>
        <w:t>ПЕРЕЧЕНЬ</w:t>
      </w:r>
    </w:p>
    <w:p w:rsidR="00904041" w:rsidRDefault="00904041">
      <w:pPr>
        <w:pStyle w:val="ConsPlusTitle"/>
        <w:jc w:val="center"/>
      </w:pPr>
      <w:r>
        <w:lastRenderedPageBreak/>
        <w:t>РЕКОМЕНДУЕМОГО ОБОРУДОВАНИЯ ДЛЯ ОСНАЩЕНИЯ</w:t>
      </w:r>
    </w:p>
    <w:p w:rsidR="00904041" w:rsidRDefault="00904041">
      <w:pPr>
        <w:pStyle w:val="ConsPlusTitle"/>
        <w:jc w:val="center"/>
      </w:pPr>
      <w:r>
        <w:t>ШКОЛЬНЫХ ПИЩЕБЛОКОВ</w:t>
      </w:r>
    </w:p>
    <w:p w:rsidR="00904041" w:rsidRDefault="009040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8334"/>
      </w:tblGrid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N</w:t>
            </w:r>
          </w:p>
          <w:p w:rsidR="00904041" w:rsidRDefault="0090404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bookmarkStart w:id="8" w:name="P126"/>
            <w:bookmarkEnd w:id="8"/>
            <w:r>
              <w:t>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center"/>
            </w:pPr>
            <w:r>
              <w:t>2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proofErr w:type="spellStart"/>
            <w:r>
              <w:t>Пароконвектомат</w:t>
            </w:r>
            <w:proofErr w:type="spellEnd"/>
            <w:r>
              <w:t xml:space="preserve"> (не менее: парогенератор, память на 110 программ приготовления, вся нерж.; без г/емкостей, 3-канальный щуп, регулировка влажности, вентилятор: реверс + 5 скоростей) + подставка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Зонт вытяжной встраиваемый для </w:t>
            </w:r>
            <w:proofErr w:type="spellStart"/>
            <w:r>
              <w:t>пароконвектомата</w:t>
            </w:r>
            <w:proofErr w:type="spellEnd"/>
            <w:r>
              <w:t xml:space="preserve">, указанного в </w:t>
            </w:r>
            <w:hyperlink w:anchor="P126">
              <w:r>
                <w:rPr>
                  <w:color w:val="0000FF"/>
                </w:rPr>
                <w:t>п. 1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Шкаф пекарский подовый электрический, не менее: 2 пекарные камеры 1000 x 800 x 180 мм, нерж. ТЭН-ы, раздельная регулировка верхних и нижних ТЭН-</w:t>
            </w:r>
            <w:proofErr w:type="spellStart"/>
            <w:r>
              <w:t>ов</w:t>
            </w:r>
            <w:proofErr w:type="spellEnd"/>
            <w:r>
              <w:t xml:space="preserve"> (+20... +270 °C), нерж. облицовка, нерж. дверцы, </w:t>
            </w:r>
            <w:proofErr w:type="spellStart"/>
            <w:r>
              <w:t>краш</w:t>
            </w:r>
            <w:proofErr w:type="spellEnd"/>
            <w:r>
              <w:t xml:space="preserve">. боковые и задняя стенки, поды - углеродистая сталь, не менее 1300 x 1080 x 1330 мм, не менее 10,4 кВт, 400В, </w:t>
            </w:r>
            <w:proofErr w:type="spellStart"/>
            <w:r>
              <w:t>краш</w:t>
            </w:r>
            <w:proofErr w:type="spellEnd"/>
            <w:r>
              <w:t>. подставка, разборная конструкция, поставляется в собранном виде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Тестомес спиральный, 2 скорости, таймер, несъемная </w:t>
            </w:r>
            <w:proofErr w:type="spellStart"/>
            <w:r>
              <w:t>дежа</w:t>
            </w:r>
            <w:proofErr w:type="spellEnd"/>
            <w:r>
              <w:t xml:space="preserve"> 30 л, неподъемная траверса, электромеханическая панель управления, не менее 100 кг/ч, 450 x 790 x 720 мм, 0,75/1,1 кВт, 400В, цепной привод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Машина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, подставка, </w:t>
            </w:r>
            <w:proofErr w:type="spellStart"/>
            <w:r>
              <w:t>мезгосборник</w:t>
            </w:r>
            <w:proofErr w:type="spellEnd"/>
            <w:r>
              <w:t>, не менее 300 кг/ч, 17 кг, обработка 2 мин, 0,75 кВт, 400В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Мясорубка электрическая, не менее 300 кг/ч, полный </w:t>
            </w:r>
            <w:proofErr w:type="spellStart"/>
            <w:r>
              <w:t>унгер</w:t>
            </w:r>
            <w:proofErr w:type="spellEnd"/>
            <w:r>
              <w:t>, загрузочное отверстие 65 x 48 мм, 250 об/мин, 690 x 420 x 450 мм, 1,9 кВт, 400В, вся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bookmarkStart w:id="9" w:name="P140"/>
            <w:bookmarkEnd w:id="9"/>
            <w:r>
              <w:t>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Машина кухонная овощерезательная, не менее 250 кг/ч, 0,5 кВт, 400В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Решетка ножевая для нарезки кубиками 10 x 10 x 10 мм (пластик + 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Диск для нарезки ломтиками 10 мм (алюминий + 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Диск для нарезки ломтиками 2 мм (нерж.)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Диск для нарезки брусочками 10 x 10 мм (нерж.)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Диск для нарезки соломкой 4 x 2 мм (алюминий + 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Диск </w:t>
            </w:r>
            <w:proofErr w:type="spellStart"/>
            <w:r>
              <w:t>шинковочный</w:t>
            </w:r>
            <w:proofErr w:type="spellEnd"/>
            <w:r>
              <w:t xml:space="preserve"> для нарезки соломкой 4,5 x 3 мм (алюминий + нерж.) для машины кухонной овощерезательной, указанной в </w:t>
            </w:r>
            <w:hyperlink w:anchor="P140">
              <w:r>
                <w:rPr>
                  <w:color w:val="0000FF"/>
                </w:rPr>
                <w:t>пункте 7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Котел пищеварочный электрический, не менее 160 л, +100 °C, сливной кран, пароводяная рубашка, цельнотянутый, 841 x 1015 x 1030 мм, 18,1 кВт, 400В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bookmarkStart w:id="10" w:name="P156"/>
            <w:bookmarkEnd w:id="10"/>
            <w:r>
              <w:t>15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Машина посудомоечная купольная, не менее 700 тарелок/час, 2 программы мойки, 2 дозатора (моющий, ополаскивающий), насос мойки, насос ополаскивания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Стол </w:t>
            </w:r>
            <w:proofErr w:type="spellStart"/>
            <w:r>
              <w:t>предмоечный</w:t>
            </w:r>
            <w:proofErr w:type="spellEnd"/>
            <w:r>
              <w:t xml:space="preserve"> (не менее 1512 x 702 мм) душ-стойка, сбор отходов, мойка цельнотянутая не менее 400 x 400 x 250, для купольных машин, указанных в </w:t>
            </w:r>
            <w:hyperlink w:anchor="P156">
              <w:r>
                <w:rPr>
                  <w:color w:val="0000FF"/>
                </w:rPr>
                <w:t>пункте 15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Стол раздаточный (не менее 1062 x 611 мм) для чистой посуды, для купольных машин, указанных в </w:t>
            </w:r>
            <w:hyperlink w:anchor="P156">
              <w:r>
                <w:rPr>
                  <w:color w:val="0000FF"/>
                </w:rPr>
                <w:t>пункте 15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Кассета для тарелок, не менее 500 x 500 x 106 мм, для купольных машин, указанных в </w:t>
            </w:r>
            <w:hyperlink w:anchor="P156">
              <w:r>
                <w:rPr>
                  <w:color w:val="0000FF"/>
                </w:rPr>
                <w:t>пункте 15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Кассета нейтральная (кассета для стаканов и чашек), не менее 500 x 500 x 106 мм, для купольных машин, указанных в </w:t>
            </w:r>
            <w:hyperlink w:anchor="P156">
              <w:r>
                <w:rPr>
                  <w:color w:val="0000FF"/>
                </w:rPr>
                <w:t>пункте 15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Кассета для столовых приборов, не менее 500 x 500 x 106 мм, для купольных машин, указанных в </w:t>
            </w:r>
            <w:hyperlink w:anchor="P156">
              <w:r>
                <w:rPr>
                  <w:color w:val="0000FF"/>
                </w:rPr>
                <w:t>пункте 15</w:t>
              </w:r>
            </w:hyperlink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Рамка в сборе (к кассете для стаканов и чашек), не менее 455 x 455 мм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Стакан для столовых приборов, 127 x 130 мм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Кипятильник воды (30 литров, наливного типа, 30 - 110 °C)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Кипятильник электрический непрерывного действия (прямоугольный)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Плита электрическая, не менее 4 конфорок, КЭТ-0,12, нерж. духовка, 1050 x 895 x 860 мм, </w:t>
            </w:r>
            <w:proofErr w:type="spellStart"/>
            <w:r>
              <w:t>лицев</w:t>
            </w:r>
            <w:proofErr w:type="spellEnd"/>
            <w:r>
              <w:t>.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Плита электрическая, не менее 6 конфорок, КЭТ-0,12, нерж. духовка, 1475 x 895 x 860 мм, </w:t>
            </w:r>
            <w:proofErr w:type="spellStart"/>
            <w:r>
              <w:t>лицев</w:t>
            </w:r>
            <w:proofErr w:type="spellEnd"/>
            <w:r>
              <w:t>.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Сковорода электрическая, не менее: чугунная чаша 572 x 490 x 140 мм, площадь дна чаши 0,27 м2, 40 л, опрокидываемая, 900 серия, 840 x 1050 x 940 мм, +20... +270 °C, 9 кВт, 400В, вся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Зонт вентиляционный (не менее 920 x 900 x 450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Зонт вентиляционный (не менее 1350 x 900 x 450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Шкаф холодильный </w:t>
            </w:r>
            <w:proofErr w:type="spellStart"/>
            <w:r>
              <w:t>краш</w:t>
            </w:r>
            <w:proofErr w:type="spellEnd"/>
            <w:r>
              <w:t xml:space="preserve">. Не менее: (740 x 850 x 2050) t 0... +5 °C, верх. агрегат, авт. </w:t>
            </w:r>
            <w:proofErr w:type="spellStart"/>
            <w:r>
              <w:t>оттайка</w:t>
            </w:r>
            <w:proofErr w:type="spellEnd"/>
            <w:r>
              <w:t>, мех. замок, ванна выпаривания конденсата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Шкаф холодильный </w:t>
            </w:r>
            <w:proofErr w:type="spellStart"/>
            <w:r>
              <w:t>краш</w:t>
            </w:r>
            <w:proofErr w:type="spellEnd"/>
            <w:r>
              <w:t xml:space="preserve">. Не менее: (1485 x 850 x 2050) t 0... +5 °C, верх. агрегат, авт. </w:t>
            </w:r>
            <w:proofErr w:type="spellStart"/>
            <w:r>
              <w:t>оттайка</w:t>
            </w:r>
            <w:proofErr w:type="spellEnd"/>
            <w:r>
              <w:t>, мех. замок, ванна выпаривания конденсата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Шкаф холодильный </w:t>
            </w:r>
            <w:proofErr w:type="spellStart"/>
            <w:r>
              <w:t>краш</w:t>
            </w:r>
            <w:proofErr w:type="spellEnd"/>
            <w:r>
              <w:t xml:space="preserve">. Не менее: (740 x 850 x 2050) t -5... +5 °C, верх. агрегат, ТЭН </w:t>
            </w:r>
            <w:proofErr w:type="spellStart"/>
            <w:r>
              <w:t>оттайки</w:t>
            </w:r>
            <w:proofErr w:type="spellEnd"/>
            <w:r>
              <w:t>, мех. замок, ванна выпаривания конденсата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Прилавок для столовых приборов (не менее 630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Мармит 1-х блюд (не менее: 2 конфорки, одна полка, подсветка 1120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Мармит 2-х блюд (не менее: две полки, подсветка, с </w:t>
            </w:r>
            <w:proofErr w:type="spellStart"/>
            <w:r>
              <w:t>гастроемкостями</w:t>
            </w:r>
            <w:proofErr w:type="spellEnd"/>
            <w:r>
              <w:t>, 1120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Прилавок для горячих напитков нейтральный стол (без полок, не менее 1120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Кассовая кабина (не менее 1120 мм) универсальная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Прилавок-витрина холодильный вся нерж. плоский стол (не менее 1120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Стол для сбора отходов (не менее 800 x 700 x 860 мм) вся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Стол производственный (не менее 800 x 700 x 860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Стол производственный (не менее 1200 x 700 x 860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Стол производственный (не менее 1500 x 700 x 860 мм)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Ванна 1-секционная (не менее 500 x 500 x 300)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Ванна 2-секционная (не менее 500 x 500 x 300)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Ванна 3-секционная (не менее 500 x 500 x 300)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Ванна 1-секционная </w:t>
            </w:r>
            <w:proofErr w:type="spellStart"/>
            <w:r>
              <w:t>котломойка</w:t>
            </w:r>
            <w:proofErr w:type="spellEnd"/>
            <w:r>
              <w:t xml:space="preserve"> (мойка не менее 604 x 600 x 500 мм) вся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 xml:space="preserve">Ванна 1-секционная </w:t>
            </w:r>
            <w:proofErr w:type="spellStart"/>
            <w:r>
              <w:t>котломойка</w:t>
            </w:r>
            <w:proofErr w:type="spellEnd"/>
            <w:r>
              <w:t xml:space="preserve"> (мойка не менее 800 x 800 x 500 мм) вся нерж.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proofErr w:type="spellStart"/>
            <w:r>
              <w:t>Гастроемкость</w:t>
            </w:r>
            <w:proofErr w:type="spellEnd"/>
            <w:r>
              <w:t xml:space="preserve"> (без крышки и ручек) (не менее 530 x 325 x 40 мм, вся нерж.)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proofErr w:type="spellStart"/>
            <w:r>
              <w:t>Гастроемкость</w:t>
            </w:r>
            <w:proofErr w:type="spellEnd"/>
            <w:r>
              <w:t xml:space="preserve"> (без крышки и ручек) (не менее 530 x 325 x 65 мм, вся нерж.)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proofErr w:type="spellStart"/>
            <w:r>
              <w:t>Гастроемкость</w:t>
            </w:r>
            <w:proofErr w:type="spellEnd"/>
            <w:r>
              <w:t xml:space="preserve"> (без крышки и ручек) (не менее 530 x 325 x 20 мм, вся нерж.)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Противень алюминиевый не менее 600 x 400 мм, гладкий, для конвекционных печей КЭП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Полка нейтральная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Стеллаж для сушки тарелок.</w:t>
            </w:r>
          </w:p>
          <w:p w:rsidR="00904041" w:rsidRDefault="00904041">
            <w:pPr>
              <w:pStyle w:val="ConsPlusNormal"/>
              <w:jc w:val="both"/>
            </w:pPr>
            <w:r>
              <w:t>Не менее: 2 полки, 4 кассеты на 35 тарелок; 980 x 416 x 1737 (400 серия)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Тележка-шпилька для транспортировки и хранения подносов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Комплект индивидуальной столовой посуды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Комплект кухонной посуды (не менее: котлы - 5 шт., сковородки - 5 шт., половники, шумовки)</w:t>
            </w:r>
          </w:p>
        </w:tc>
      </w:tr>
      <w:tr w:rsidR="00904041">
        <w:tc>
          <w:tcPr>
            <w:tcW w:w="654" w:type="dxa"/>
          </w:tcPr>
          <w:p w:rsidR="00904041" w:rsidRDefault="009040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34" w:type="dxa"/>
          </w:tcPr>
          <w:p w:rsidR="00904041" w:rsidRDefault="00904041">
            <w:pPr>
              <w:pStyle w:val="ConsPlusNormal"/>
              <w:jc w:val="both"/>
            </w:pPr>
            <w:r>
              <w:t>Комплект обеденный школьный 6-местный с табуретками</w:t>
            </w:r>
          </w:p>
        </w:tc>
      </w:tr>
    </w:tbl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jc w:val="both"/>
      </w:pPr>
    </w:p>
    <w:p w:rsidR="00904041" w:rsidRDefault="009040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343" w:rsidRDefault="00CD5343"/>
    <w:sectPr w:rsidR="00CD5343" w:rsidSect="00EC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1"/>
    <w:rsid w:val="00904041"/>
    <w:rsid w:val="00C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F8C34-9379-4763-ADAF-6F8E8FB0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0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40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40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269C70FCD73B70D31D9D87A84FF5A227418DE2D63B3B48D106567FE48DF38FBA570B8A7F57701566927DFA43DE6D6496C9E63441A9D87BE195A6AAAu2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4269C70FCD73B70D31D9D87A84FF5A227418DE2D63B3B48D106567FE48DF38FBA570B8A7F57701566927DFA43DE6D6496C9E63441A9D87BE195A6AAAu2J" TargetMode="External"/><Relationship Id="rId12" Type="http://schemas.openxmlformats.org/officeDocument/2006/relationships/hyperlink" Target="consultantplus://offline/ref=0B4269C70FCD73B70D31D9D87A84FF5A227418DE2D63B3B48D106567FE48DF38FBA570B8A7F57701566927DAA13DE6D6496C9E63441A9D87BE195A6AAAu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269C70FCD73B70D31D9D87A84FF5A227418DE2D62B5B48C146567FE48DF38FBA570B8A7F57701566C25DAAE3DE6D6496C9E63441A9D87BE195A6AAAu2J" TargetMode="External"/><Relationship Id="rId11" Type="http://schemas.openxmlformats.org/officeDocument/2006/relationships/hyperlink" Target="consultantplus://offline/ref=0B4269C70FCD73B70D31D9D87A84FF5A227418DE2D63B3B48D106567FE48DF38FBA570B8A7F57701566926D3A43DE6D6496C9E63441A9D87BE195A6AAAu2J" TargetMode="External"/><Relationship Id="rId5" Type="http://schemas.openxmlformats.org/officeDocument/2006/relationships/hyperlink" Target="consultantplus://offline/ref=0B4269C70FCD73B70D31D9D87A84FF5A227418DE2D62B5B48C146567FE48DF38FBA570B8A7F57701566C21DDA63DE6D6496C9E63441A9D87BE195A6AAAu2J" TargetMode="External"/><Relationship Id="rId10" Type="http://schemas.openxmlformats.org/officeDocument/2006/relationships/image" Target="media/image1.wmf"/><Relationship Id="rId4" Type="http://schemas.openxmlformats.org/officeDocument/2006/relationships/hyperlink" Target="consultantplus://offline/ref=0B4269C70FCD73B70D31D9D87A84FF5A227418DE2D62B2BF8D156567FE48DF38FBA570B8B5F52F0D566B38DBA728B0870FA3uBJ" TargetMode="External"/><Relationship Id="rId9" Type="http://schemas.openxmlformats.org/officeDocument/2006/relationships/hyperlink" Target="consultantplus://offline/ref=0B4269C70FCD73B70D31D9D87A84FF5A227418DE2D62B3BF8F116567FE48DF38FBA570B8A7F577035E6A2D8EF772E78A0D3B8D62471A9E86A2A1u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2022-11-02T09:46:00Z</dcterms:created>
  <dcterms:modified xsi:type="dcterms:W3CDTF">2022-11-02T09:46:00Z</dcterms:modified>
</cp:coreProperties>
</file>