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A67" w:rsidRDefault="00397D40">
      <w:pPr>
        <w:spacing w:after="0"/>
        <w:ind w:left="5239" w:right="0" w:hanging="10"/>
      </w:pPr>
      <w:r>
        <w:rPr>
          <w:color w:val="1F1F1F"/>
        </w:rPr>
        <w:t xml:space="preserve">                   Утвержден </w:t>
      </w:r>
    </w:p>
    <w:p w:rsidR="00B36A67" w:rsidRDefault="00397D40">
      <w:pPr>
        <w:spacing w:after="0"/>
        <w:ind w:left="5239" w:right="0" w:hanging="10"/>
      </w:pPr>
      <w:r>
        <w:rPr>
          <w:color w:val="1F1F1F"/>
        </w:rPr>
        <w:t>Общественным советом при Министерстве образования</w:t>
      </w:r>
    </w:p>
    <w:p w:rsidR="00B36A67" w:rsidRDefault="00397D40">
      <w:pPr>
        <w:spacing w:after="0"/>
        <w:ind w:left="5239" w:right="0" w:hanging="10"/>
      </w:pPr>
      <w:r>
        <w:rPr>
          <w:color w:val="1F1F1F"/>
        </w:rPr>
        <w:t>Пензенской области</w:t>
      </w:r>
    </w:p>
    <w:p w:rsidR="00B36A67" w:rsidRDefault="00397D40">
      <w:pPr>
        <w:spacing w:after="294" w:line="259" w:lineRule="auto"/>
        <w:ind w:right="688" w:firstLine="0"/>
        <w:jc w:val="right"/>
      </w:pPr>
      <w:r>
        <w:rPr>
          <w:color w:val="1F1F1F"/>
        </w:rPr>
        <w:t xml:space="preserve">(протокол от </w:t>
      </w:r>
      <w:r w:rsidR="00A20A36">
        <w:rPr>
          <w:color w:val="1F1F1F"/>
        </w:rPr>
        <w:t>23.01.202</w:t>
      </w:r>
      <w:r w:rsidR="00144906">
        <w:rPr>
          <w:color w:val="1F1F1F"/>
        </w:rPr>
        <w:t>5</w:t>
      </w:r>
      <w:bookmarkStart w:id="0" w:name="_GoBack"/>
      <w:bookmarkEnd w:id="0"/>
      <w:r w:rsidR="00A20A36">
        <w:rPr>
          <w:color w:val="1F1F1F"/>
        </w:rPr>
        <w:t>)</w:t>
      </w:r>
    </w:p>
    <w:p w:rsidR="00B36A67" w:rsidRDefault="00397D40">
      <w:pPr>
        <w:spacing w:after="0" w:line="259" w:lineRule="auto"/>
        <w:ind w:left="10" w:hanging="10"/>
        <w:jc w:val="center"/>
      </w:pPr>
      <w:r>
        <w:rPr>
          <w:b/>
          <w:color w:val="1F1F1F"/>
        </w:rPr>
        <w:t xml:space="preserve">Доклад об антимонопольном </w:t>
      </w:r>
      <w:proofErr w:type="spellStart"/>
      <w:r>
        <w:rPr>
          <w:b/>
          <w:color w:val="1F1F1F"/>
        </w:rPr>
        <w:t>комплаенсе</w:t>
      </w:r>
      <w:proofErr w:type="spellEnd"/>
      <w:r>
        <w:rPr>
          <w:b/>
          <w:color w:val="1F1F1F"/>
        </w:rPr>
        <w:t xml:space="preserve"> </w:t>
      </w:r>
    </w:p>
    <w:p w:rsidR="00B36A67" w:rsidRDefault="00397D40">
      <w:pPr>
        <w:spacing w:after="294" w:line="259" w:lineRule="auto"/>
        <w:ind w:left="10" w:right="4" w:hanging="10"/>
        <w:jc w:val="center"/>
      </w:pPr>
      <w:r>
        <w:rPr>
          <w:b/>
          <w:color w:val="1F1F1F"/>
        </w:rPr>
        <w:t>Министерства образования Пензенской области за 202</w:t>
      </w:r>
      <w:r w:rsidR="00A20A36">
        <w:rPr>
          <w:b/>
          <w:color w:val="1F1F1F"/>
        </w:rPr>
        <w:t>4</w:t>
      </w:r>
      <w:r>
        <w:rPr>
          <w:b/>
          <w:color w:val="1F1F1F"/>
        </w:rPr>
        <w:t xml:space="preserve"> год</w:t>
      </w:r>
    </w:p>
    <w:p w:rsidR="00B36A67" w:rsidRDefault="00397D40">
      <w:pPr>
        <w:ind w:left="-15" w:right="0"/>
      </w:pPr>
      <w:r>
        <w:t xml:space="preserve">Указом Президента Российской Федерации от 21.12.2017 № 618 «Об основных направлениях государственной политики по развитию конкуренции» </w:t>
      </w:r>
      <w:r>
        <w:rPr>
          <w:color w:val="1F1F1F"/>
        </w:rPr>
        <w:t>установлены основополагающие принципы г</w:t>
      </w:r>
      <w:r>
        <w:t>осударственной политики в Российской Федерации по развитию конкуренции.</w:t>
      </w:r>
    </w:p>
    <w:p w:rsidR="00B36A67" w:rsidRDefault="00397D40">
      <w:pPr>
        <w:spacing w:after="0"/>
        <w:ind w:left="100" w:right="135" w:firstLine="708"/>
      </w:pPr>
      <w:r>
        <w:rPr>
          <w:color w:val="1F1F1F"/>
        </w:rPr>
        <w:t>Субъектам поручено обеспечить меры, направленные на создание и организацию системы внутреннего обеспечения соответствия требованиям антимонопольного законодательства деятельности органов исполнительной власти субъектов Российской Федерации.</w:t>
      </w:r>
    </w:p>
    <w:p w:rsidR="00B36A67" w:rsidRDefault="00397D40">
      <w:pPr>
        <w:ind w:left="-15" w:right="0"/>
      </w:pPr>
      <w:r>
        <w:t xml:space="preserve">Приказом Минобразования Пензенской области от 27.02.2019 № 86/0107 «Об утверждении Положения по созданию и организации системы внутреннего обеспечения соответствия требованиям антимонопольного законодательства в Министерстве образования Пензенской области» было </w:t>
      </w:r>
      <w:r>
        <w:rPr>
          <w:color w:val="1F1F1F"/>
        </w:rPr>
        <w:t xml:space="preserve">утверждено Положение </w:t>
      </w:r>
      <w:r>
        <w:t>по созданию и организации системы внутреннего обеспечения соответствия требованиям антимонопольного законодательства в Министерстве образования Пензенской области</w:t>
      </w:r>
      <w:r>
        <w:rPr>
          <w:color w:val="1F1F1F"/>
        </w:rPr>
        <w:t>.</w:t>
      </w:r>
    </w:p>
    <w:p w:rsidR="00B36A67" w:rsidRDefault="00397D40">
      <w:pPr>
        <w:ind w:left="-15" w:right="0" w:firstLine="540"/>
      </w:pPr>
      <w:r>
        <w:t xml:space="preserve">Уполномоченными подразделениями, ответственными за организацию и функционирование антимонопольного </w:t>
      </w:r>
      <w:proofErr w:type="spellStart"/>
      <w:r>
        <w:t>комплаенса</w:t>
      </w:r>
      <w:proofErr w:type="spellEnd"/>
      <w:r>
        <w:t xml:space="preserve"> в Министерстве, являются Управление кадровой политики и организационно-правовой работы и Управление бухгалтерского учета, отчетности, контроля, имущественных отношений, капитального ремонта и государственных закупок Министерства. О</w:t>
      </w:r>
      <w:r>
        <w:rPr>
          <w:color w:val="1F1F1F"/>
        </w:rPr>
        <w:t xml:space="preserve">ценку эффективности </w:t>
      </w:r>
      <w:r>
        <w:t xml:space="preserve">организации и функционирования в Министерстве антимонопольного </w:t>
      </w:r>
      <w:proofErr w:type="spellStart"/>
      <w:r>
        <w:t>комплаенса</w:t>
      </w:r>
      <w:proofErr w:type="spellEnd"/>
      <w:r>
        <w:t xml:space="preserve"> осуществляет коллегиальный орган -</w:t>
      </w:r>
    </w:p>
    <w:p w:rsidR="00B36A67" w:rsidRDefault="00397D40">
      <w:pPr>
        <w:spacing w:after="224"/>
        <w:ind w:left="-15" w:right="0" w:firstLine="0"/>
      </w:pPr>
      <w:r>
        <w:t>Общественный совет при Министерстве</w:t>
      </w:r>
    </w:p>
    <w:p w:rsidR="00B36A67" w:rsidRDefault="00397D40">
      <w:pPr>
        <w:spacing w:after="12"/>
        <w:ind w:left="171" w:right="0" w:firstLine="0"/>
        <w:jc w:val="left"/>
      </w:pPr>
      <w:r>
        <w:rPr>
          <w:b/>
        </w:rPr>
        <w:t>II. Информация о результатах проведенной оценки рисков нарушения</w:t>
      </w:r>
    </w:p>
    <w:p w:rsidR="00B36A67" w:rsidRDefault="00397D40">
      <w:pPr>
        <w:spacing w:after="321" w:line="238" w:lineRule="auto"/>
        <w:ind w:left="288" w:right="279" w:hanging="10"/>
        <w:jc w:val="center"/>
      </w:pPr>
      <w:r>
        <w:rPr>
          <w:b/>
        </w:rPr>
        <w:t>Министерством образования Пензенской области антимонопольного законодательства</w:t>
      </w:r>
    </w:p>
    <w:p w:rsidR="00B36A67" w:rsidRDefault="00397D40">
      <w:pPr>
        <w:ind w:left="-15" w:right="0"/>
      </w:pPr>
      <w:r>
        <w:t xml:space="preserve">В целях выявления рисков нарушения антимонопольного законодательства  Управлением кадровой политики и </w:t>
      </w:r>
      <w:proofErr w:type="spellStart"/>
      <w:r>
        <w:t>организационноправовой</w:t>
      </w:r>
      <w:proofErr w:type="spellEnd"/>
      <w:r>
        <w:t xml:space="preserve"> работы и Управлением бухгалтерского учета, отчетности, контроля, имущественных отношений Министерства образования Пензенской области во взаимодействии со структурными подразделениями проведен сбор и анализ выявленных нарушений антимонопольного </w:t>
      </w:r>
      <w:r>
        <w:lastRenderedPageBreak/>
        <w:t>законодательства в деятельности Министерства образования Пензенской области за предыдущие 3 года (наличие предостережений, предупреждений, штрафов, жалоб, возбужденных дел).</w:t>
      </w:r>
    </w:p>
    <w:p w:rsidR="00B36A67" w:rsidRDefault="00397D40">
      <w:pPr>
        <w:ind w:left="-15" w:right="119"/>
      </w:pPr>
      <w:r>
        <w:t>В 202</w:t>
      </w:r>
      <w:r w:rsidR="00A20A36">
        <w:t>4</w:t>
      </w:r>
      <w:r>
        <w:t xml:space="preserve"> году Министерство образования Пензенской области не привлекалось к ответственности </w:t>
      </w:r>
      <w:proofErr w:type="gramStart"/>
      <w:r>
        <w:t>за нарушений</w:t>
      </w:r>
      <w:proofErr w:type="gramEnd"/>
      <w:r>
        <w:t xml:space="preserve"> антимонопольного законодательства.</w:t>
      </w:r>
    </w:p>
    <w:p w:rsidR="00B36A67" w:rsidRDefault="00397D40">
      <w:pPr>
        <w:ind w:left="-15" w:right="119"/>
      </w:pPr>
      <w:r>
        <w:t xml:space="preserve">В результате проведенного анализа рисков нарушения антимонопольного законодательства в области осуществления закупок товаров, работ, услуг нарушений не выявлено. </w:t>
      </w:r>
    </w:p>
    <w:p w:rsidR="00B36A67" w:rsidRDefault="00397D40">
      <w:pPr>
        <w:spacing w:after="310"/>
        <w:ind w:left="-15" w:right="0"/>
      </w:pPr>
      <w:r>
        <w:t>В 202</w:t>
      </w:r>
      <w:r w:rsidR="00A20A36">
        <w:t>4</w:t>
      </w:r>
      <w:r>
        <w:t xml:space="preserve"> году по уровням выявления рисков нарушения антимонопольного законодательства относятся к незначительному уровню.</w:t>
      </w:r>
    </w:p>
    <w:p w:rsidR="00B36A67" w:rsidRDefault="00397D40">
      <w:pPr>
        <w:numPr>
          <w:ilvl w:val="0"/>
          <w:numId w:val="1"/>
        </w:numPr>
        <w:spacing w:after="321" w:line="238" w:lineRule="auto"/>
        <w:ind w:right="139" w:hanging="446"/>
        <w:jc w:val="left"/>
      </w:pPr>
      <w:r>
        <w:rPr>
          <w:b/>
        </w:rPr>
        <w:t>Информация об исполнении мероприятий по снижению рисков нарушения Министерством образования Пензенской области антимонопольного законодательства</w:t>
      </w:r>
    </w:p>
    <w:p w:rsidR="00B36A67" w:rsidRDefault="00397D40">
      <w:pPr>
        <w:ind w:left="-15" w:right="0"/>
      </w:pPr>
      <w:r>
        <w:t>В 202</w:t>
      </w:r>
      <w:r w:rsidR="00A20A36">
        <w:t>4</w:t>
      </w:r>
      <w:r>
        <w:t xml:space="preserve"> году в целях выявления рисков нарушения антимонопольного законодательства Подразделениями на постоянной основе проводился:</w:t>
      </w:r>
    </w:p>
    <w:p w:rsidR="00B36A67" w:rsidRDefault="00A20A36" w:rsidP="00A20A36">
      <w:pPr>
        <w:ind w:right="0"/>
      </w:pPr>
      <w:r>
        <w:t xml:space="preserve">- </w:t>
      </w:r>
      <w:r w:rsidR="00397D40">
        <w:t xml:space="preserve">анализ выявленных нарушений антимонопольного </w:t>
      </w:r>
      <w:proofErr w:type="spellStart"/>
      <w:r w:rsidR="00397D40">
        <w:t>законодательствав</w:t>
      </w:r>
      <w:proofErr w:type="spellEnd"/>
      <w:r w:rsidR="00397D40">
        <w:t xml:space="preserve"> деятельности за предыдущие 3 года (наличие предостережений, предупреждений, штрафов, жалоб, возбужденных дел),</w:t>
      </w:r>
    </w:p>
    <w:p w:rsidR="00B36A67" w:rsidRDefault="00A20A36" w:rsidP="00A20A36">
      <w:pPr>
        <w:ind w:right="0"/>
      </w:pPr>
      <w:r>
        <w:t xml:space="preserve">- </w:t>
      </w:r>
      <w:r w:rsidR="00397D40">
        <w:t xml:space="preserve">анализ приказов и проектов приказов Министерства </w:t>
      </w:r>
      <w:proofErr w:type="spellStart"/>
      <w:r w:rsidR="00397D40">
        <w:t>образованияПензенской</w:t>
      </w:r>
      <w:proofErr w:type="spellEnd"/>
      <w:r w:rsidR="00397D40">
        <w:t xml:space="preserve"> области</w:t>
      </w:r>
    </w:p>
    <w:p w:rsidR="00B36A67" w:rsidRDefault="00A20A36" w:rsidP="00A20A36">
      <w:pPr>
        <w:ind w:right="0"/>
      </w:pPr>
      <w:r>
        <w:t xml:space="preserve">- </w:t>
      </w:r>
      <w:r w:rsidR="00397D40">
        <w:t xml:space="preserve">мониторинг и анализ антимонопольного законодательства и </w:t>
      </w:r>
      <w:proofErr w:type="spellStart"/>
      <w:r w:rsidR="00397D40">
        <w:t>практикиприменения</w:t>
      </w:r>
      <w:proofErr w:type="spellEnd"/>
      <w:r w:rsidR="00397D40">
        <w:t xml:space="preserve"> Министерством образования данного законодательства.</w:t>
      </w:r>
    </w:p>
    <w:p w:rsidR="00B36A67" w:rsidRDefault="00397D40">
      <w:pPr>
        <w:ind w:left="-15" w:right="0"/>
      </w:pPr>
      <w:r>
        <w:t>Проводится систематическая оценка эффективности разработанных и реализуемых мероприятий по снижению рисков нарушения антимонопольного законодательства.</w:t>
      </w:r>
    </w:p>
    <w:p w:rsidR="00B36A67" w:rsidRDefault="00397D40">
      <w:pPr>
        <w:ind w:left="-15" w:right="0"/>
      </w:pPr>
      <w:r>
        <w:t>В 20</w:t>
      </w:r>
      <w:r w:rsidR="00A20A36">
        <w:t>24</w:t>
      </w:r>
      <w:r>
        <w:t xml:space="preserve"> году проведена правовая экспертиза на предмет выявления рисков нарушения антимонопольного законодательства </w:t>
      </w:r>
      <w:r w:rsidR="00A20A36">
        <w:t>80</w:t>
      </w:r>
      <w:r>
        <w:t xml:space="preserve"> проект приказов Министерства. Факты выявления нарушения указанных норм отсутствуют. </w:t>
      </w:r>
    </w:p>
    <w:p w:rsidR="00B36A67" w:rsidRDefault="00397D40">
      <w:pPr>
        <w:spacing w:after="298"/>
        <w:ind w:left="-15" w:right="0"/>
      </w:pPr>
      <w:r>
        <w:t>По результатам проделанной работы Министру образования Пензенской области предоставлен соответствующий доклад.</w:t>
      </w:r>
    </w:p>
    <w:p w:rsidR="00B36A67" w:rsidRDefault="00397D40">
      <w:pPr>
        <w:numPr>
          <w:ilvl w:val="0"/>
          <w:numId w:val="1"/>
        </w:numPr>
        <w:spacing w:after="300"/>
        <w:ind w:right="139" w:hanging="446"/>
        <w:jc w:val="left"/>
      </w:pPr>
      <w:r>
        <w:rPr>
          <w:b/>
        </w:rPr>
        <w:t xml:space="preserve">Информация о достижении ключевых </w:t>
      </w:r>
      <w:proofErr w:type="spellStart"/>
      <w:r>
        <w:rPr>
          <w:b/>
        </w:rPr>
        <w:t>показателейэффективности</w:t>
      </w:r>
      <w:proofErr w:type="spellEnd"/>
      <w:r>
        <w:rPr>
          <w:b/>
        </w:rPr>
        <w:t xml:space="preserve"> антимонопольного </w:t>
      </w:r>
      <w:proofErr w:type="spellStart"/>
      <w:r>
        <w:rPr>
          <w:b/>
        </w:rPr>
        <w:t>комплаенса</w:t>
      </w:r>
      <w:proofErr w:type="spellEnd"/>
    </w:p>
    <w:p w:rsidR="00B36A67" w:rsidRDefault="00397D40">
      <w:pPr>
        <w:ind w:left="-15" w:right="0"/>
      </w:pPr>
      <w:r>
        <w:t xml:space="preserve">Ключевыми показателями эффективности функционирования антимонопольного </w:t>
      </w:r>
      <w:proofErr w:type="spellStart"/>
      <w:r>
        <w:t>комплаенса</w:t>
      </w:r>
      <w:proofErr w:type="spellEnd"/>
      <w:r>
        <w:t xml:space="preserve"> являются показатель снижения количества правонарушений в области антимонопольного законодательства, показатель снижения количества привлечения должностных лиц к ответственности, предусмотренной антимонопольным законодательством Российской </w:t>
      </w:r>
      <w:r>
        <w:lastRenderedPageBreak/>
        <w:t xml:space="preserve">Федерации. В целях оценки достижения ключевых показателей эффективности антимонопольного </w:t>
      </w:r>
      <w:proofErr w:type="spellStart"/>
      <w:r>
        <w:t>комплаенса</w:t>
      </w:r>
      <w:proofErr w:type="spellEnd"/>
      <w:r>
        <w:t xml:space="preserve"> в Министерстве образования Пензенской области проведена оценка эффективности функционирования антимонопольного </w:t>
      </w:r>
      <w:proofErr w:type="spellStart"/>
      <w:r>
        <w:t>комплаенса</w:t>
      </w:r>
      <w:proofErr w:type="spellEnd"/>
      <w:r>
        <w:t xml:space="preserve"> в 202</w:t>
      </w:r>
      <w:r w:rsidR="00A20A36">
        <w:t>4</w:t>
      </w:r>
      <w:r>
        <w:t xml:space="preserve"> году:</w:t>
      </w:r>
    </w:p>
    <w:p w:rsidR="00B36A67" w:rsidRDefault="00B36A67">
      <w:pPr>
        <w:spacing w:after="0" w:line="259" w:lineRule="auto"/>
        <w:ind w:left="-1704" w:right="11058" w:firstLine="0"/>
        <w:jc w:val="left"/>
      </w:pPr>
    </w:p>
    <w:tbl>
      <w:tblPr>
        <w:tblStyle w:val="TableGrid"/>
        <w:tblW w:w="9233" w:type="dxa"/>
        <w:tblInd w:w="121" w:type="dxa"/>
        <w:tblCellMar>
          <w:top w:w="20" w:type="dxa"/>
          <w:left w:w="76" w:type="dxa"/>
          <w:right w:w="73" w:type="dxa"/>
        </w:tblCellMar>
        <w:tblLook w:val="04A0" w:firstRow="1" w:lastRow="0" w:firstColumn="1" w:lastColumn="0" w:noHBand="0" w:noVBand="1"/>
      </w:tblPr>
      <w:tblGrid>
        <w:gridCol w:w="661"/>
        <w:gridCol w:w="6870"/>
        <w:gridCol w:w="1702"/>
      </w:tblGrid>
      <w:tr w:rsidR="00B36A67">
        <w:trPr>
          <w:trHeight w:val="649"/>
        </w:trPr>
        <w:tc>
          <w:tcPr>
            <w:tcW w:w="6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A67" w:rsidRDefault="00397D40">
            <w:pPr>
              <w:spacing w:after="30" w:line="259" w:lineRule="auto"/>
              <w:ind w:left="113" w:right="0" w:firstLine="0"/>
              <w:jc w:val="left"/>
            </w:pPr>
            <w:r>
              <w:rPr>
                <w:sz w:val="24"/>
              </w:rPr>
              <w:t>№</w:t>
            </w:r>
          </w:p>
          <w:p w:rsidR="00B36A67" w:rsidRDefault="00397D40">
            <w:pPr>
              <w:spacing w:after="0" w:line="259" w:lineRule="auto"/>
              <w:ind w:left="81" w:right="0" w:firstLine="0"/>
              <w:jc w:val="left"/>
            </w:pPr>
            <w:r>
              <w:rPr>
                <w:sz w:val="24"/>
              </w:rPr>
              <w:t>п/п</w:t>
            </w:r>
          </w:p>
        </w:tc>
        <w:tc>
          <w:tcPr>
            <w:tcW w:w="68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A67" w:rsidRDefault="00397D40">
            <w:pPr>
              <w:spacing w:after="0" w:line="259" w:lineRule="auto"/>
              <w:ind w:left="1798" w:right="0" w:firstLine="0"/>
              <w:jc w:val="left"/>
            </w:pPr>
            <w:r>
              <w:rPr>
                <w:sz w:val="24"/>
              </w:rPr>
              <w:t>Ключевые показатели эффективности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A67" w:rsidRDefault="00397D40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>Значение показателя</w:t>
            </w:r>
          </w:p>
        </w:tc>
      </w:tr>
      <w:tr w:rsidR="00B36A67">
        <w:trPr>
          <w:trHeight w:val="1472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A67" w:rsidRDefault="00397D40">
            <w:pPr>
              <w:spacing w:after="0" w:line="259" w:lineRule="auto"/>
              <w:ind w:right="18" w:firstLine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A67" w:rsidRDefault="00397D40">
            <w:pPr>
              <w:spacing w:after="0" w:line="259" w:lineRule="auto"/>
              <w:ind w:left="58" w:right="117" w:firstLine="0"/>
            </w:pPr>
            <w:r>
              <w:rPr>
                <w:sz w:val="24"/>
              </w:rPr>
              <w:t>Факты выдачи Министерству предупреждения  и  (или) решения (предписания) по результатам рассмотрения дела о нарушении антимонопольного законодательства (за исключением предупреждений, решений, предписаний, отмененных вступившим в законную силу судебным актом)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A67" w:rsidRDefault="00397D40">
            <w:pPr>
              <w:spacing w:after="0" w:line="259" w:lineRule="auto"/>
              <w:ind w:right="37" w:firstLine="0"/>
              <w:jc w:val="center"/>
            </w:pPr>
            <w:r>
              <w:rPr>
                <w:sz w:val="24"/>
              </w:rPr>
              <w:t>о</w:t>
            </w:r>
          </w:p>
        </w:tc>
      </w:tr>
      <w:tr w:rsidR="00B36A67">
        <w:trPr>
          <w:trHeight w:val="1459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36A67" w:rsidRDefault="00397D40">
            <w:pPr>
              <w:spacing w:after="0" w:line="259" w:lineRule="auto"/>
              <w:ind w:right="6" w:firstLine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36A67" w:rsidRDefault="00397D40">
            <w:pPr>
              <w:spacing w:after="0" w:line="259" w:lineRule="auto"/>
              <w:ind w:left="66" w:right="115" w:hanging="8"/>
            </w:pPr>
            <w:r>
              <w:rPr>
                <w:sz w:val="24"/>
              </w:rPr>
              <w:t>Вступившие в законную силу решения судов о признании недействительными ненормативных правовых актов, незаконными решений и действий (бездействия) органа исполнительной власти, его должностных лиц ввиду их несоответствия антимонопольному законодательству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36A67" w:rsidRDefault="00397D40">
            <w:pPr>
              <w:spacing w:after="0" w:line="259" w:lineRule="auto"/>
              <w:ind w:firstLine="0"/>
              <w:jc w:val="center"/>
            </w:pPr>
            <w:r>
              <w:rPr>
                <w:sz w:val="24"/>
              </w:rPr>
              <w:t xml:space="preserve"> нет</w:t>
            </w:r>
          </w:p>
        </w:tc>
      </w:tr>
      <w:tr w:rsidR="00B36A67">
        <w:trPr>
          <w:trHeight w:val="1516"/>
        </w:trPr>
        <w:tc>
          <w:tcPr>
            <w:tcW w:w="6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36A67" w:rsidRDefault="00397D40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68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36A67" w:rsidRDefault="00397D40">
            <w:pPr>
              <w:spacing w:after="0" w:line="259" w:lineRule="auto"/>
              <w:ind w:left="66" w:right="96" w:firstLine="4"/>
            </w:pPr>
            <w:r>
              <w:rPr>
                <w:sz w:val="24"/>
              </w:rPr>
              <w:t>Жалобы на решения, действия (бездействие) Министерства и (или) его должностных лиц, ведущие к ограничению конкуренции и поданные в органы прокуратуры, в случае принятия прокурором решения об удовлетворении указанных жалоб в установленном законодательством порядке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36A67" w:rsidRDefault="00397D40">
            <w:pPr>
              <w:spacing w:after="0" w:line="259" w:lineRule="auto"/>
              <w:ind w:right="110" w:firstLine="0"/>
              <w:jc w:val="center"/>
            </w:pPr>
            <w:r>
              <w:rPr>
                <w:sz w:val="24"/>
              </w:rPr>
              <w:t>нет</w:t>
            </w:r>
          </w:p>
        </w:tc>
      </w:tr>
      <w:tr w:rsidR="00B36A67">
        <w:trPr>
          <w:trHeight w:val="711"/>
        </w:trPr>
        <w:tc>
          <w:tcPr>
            <w:tcW w:w="6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A67" w:rsidRDefault="00397D40">
            <w:pPr>
              <w:spacing w:after="0" w:line="259" w:lineRule="auto"/>
              <w:ind w:left="62" w:right="0" w:firstLine="0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68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A67" w:rsidRDefault="00397D40">
            <w:pPr>
              <w:spacing w:after="0" w:line="259" w:lineRule="auto"/>
              <w:ind w:left="68" w:right="0" w:hanging="6"/>
            </w:pPr>
            <w:r>
              <w:rPr>
                <w:sz w:val="24"/>
              </w:rPr>
              <w:t>Выполнение мероприятий по снижению рисков нарушения антимонопольного законодательства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A67" w:rsidRDefault="00397D40">
            <w:pPr>
              <w:spacing w:after="0" w:line="259" w:lineRule="auto"/>
              <w:ind w:right="0" w:firstLine="0"/>
            </w:pPr>
            <w:r>
              <w:rPr>
                <w:sz w:val="24"/>
              </w:rPr>
              <w:t>выполнены все</w:t>
            </w:r>
          </w:p>
          <w:p w:rsidR="00B36A67" w:rsidRDefault="00397D40">
            <w:pPr>
              <w:spacing w:after="0" w:line="259" w:lineRule="auto"/>
              <w:ind w:left="112" w:right="0" w:firstLine="0"/>
              <w:jc w:val="left"/>
            </w:pPr>
            <w:r>
              <w:rPr>
                <w:sz w:val="24"/>
              </w:rPr>
              <w:t>мероприятия</w:t>
            </w:r>
          </w:p>
        </w:tc>
      </w:tr>
      <w:tr w:rsidR="00B36A67">
        <w:trPr>
          <w:trHeight w:val="846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A67" w:rsidRDefault="00397D40">
            <w:pPr>
              <w:spacing w:after="0" w:line="259" w:lineRule="auto"/>
              <w:ind w:left="58" w:right="0" w:firstLine="0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A67" w:rsidRDefault="00397D40">
            <w:pPr>
              <w:spacing w:after="0" w:line="259" w:lineRule="auto"/>
              <w:ind w:left="66" w:right="0" w:hanging="4"/>
            </w:pPr>
            <w:r>
              <w:rPr>
                <w:sz w:val="24"/>
              </w:rPr>
              <w:t>Нормативные правовые акты Министерства, прошедшие процедуру «общественного контроля»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A67" w:rsidRDefault="00397D40">
            <w:pPr>
              <w:spacing w:after="0" w:line="259" w:lineRule="auto"/>
              <w:ind w:left="15" w:right="0" w:firstLine="0"/>
              <w:jc w:val="center"/>
            </w:pPr>
            <w:r>
              <w:rPr>
                <w:sz w:val="24"/>
              </w:rPr>
              <w:t>0</w:t>
            </w:r>
          </w:p>
        </w:tc>
      </w:tr>
    </w:tbl>
    <w:p w:rsidR="00397D40" w:rsidRDefault="00397D40"/>
    <w:sectPr w:rsidR="00397D40">
      <w:pgSz w:w="11906" w:h="16838"/>
      <w:pgMar w:top="1147" w:right="848" w:bottom="1237" w:left="17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352C2D"/>
    <w:multiLevelType w:val="hybridMultilevel"/>
    <w:tmpl w:val="FE60537A"/>
    <w:lvl w:ilvl="0" w:tplc="08B4615C">
      <w:start w:val="3"/>
      <w:numFmt w:val="upperRoman"/>
      <w:lvlText w:val="%1."/>
      <w:lvlJc w:val="left"/>
      <w:pPr>
        <w:ind w:left="9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316A5F0">
      <w:start w:val="1"/>
      <w:numFmt w:val="bullet"/>
      <w:lvlText w:val="–"/>
      <w:lvlJc w:val="left"/>
      <w:pPr>
        <w:ind w:left="1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52C68C0">
      <w:start w:val="1"/>
      <w:numFmt w:val="bullet"/>
      <w:lvlText w:val="▪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960A7B8">
      <w:start w:val="1"/>
      <w:numFmt w:val="bullet"/>
      <w:lvlText w:val="•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974EF6C">
      <w:start w:val="1"/>
      <w:numFmt w:val="bullet"/>
      <w:lvlText w:val="o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7E0E336">
      <w:start w:val="1"/>
      <w:numFmt w:val="bullet"/>
      <w:lvlText w:val="▪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18EAEA4">
      <w:start w:val="1"/>
      <w:numFmt w:val="bullet"/>
      <w:lvlText w:val="•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E56DF5A">
      <w:start w:val="1"/>
      <w:numFmt w:val="bullet"/>
      <w:lvlText w:val="o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112B784">
      <w:start w:val="1"/>
      <w:numFmt w:val="bullet"/>
      <w:lvlText w:val="▪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A67"/>
    <w:rsid w:val="00144906"/>
    <w:rsid w:val="00397D40"/>
    <w:rsid w:val="00A20A36"/>
    <w:rsid w:val="00B36A67"/>
    <w:rsid w:val="00DD7CD5"/>
    <w:rsid w:val="00FD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67FC4"/>
  <w15:docId w15:val="{9D18F7BC-93B7-4F15-B29B-7694AB8ED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49" w:lineRule="auto"/>
      <w:ind w:right="2"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Маюрова</dc:creator>
  <cp:keywords/>
  <cp:lastModifiedBy>Анна Лещенко</cp:lastModifiedBy>
  <cp:revision>2</cp:revision>
  <dcterms:created xsi:type="dcterms:W3CDTF">2025-02-17T14:00:00Z</dcterms:created>
  <dcterms:modified xsi:type="dcterms:W3CDTF">2025-02-17T14:00:00Z</dcterms:modified>
</cp:coreProperties>
</file>